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sz w:val="22"/>
          <w:sz w:val="22"/>
          <w:color w:val="00000A"/>
        </w:rPr>
      </w:pPr>
      <w:r>
        <w:rPr/>
        <w:t>Facoltà di Diritto Canonico “S. Pio X” – Venezia</w:t>
      </w:r>
      <w:r/>
    </w:p>
    <w:p>
      <w:pPr>
        <w:pStyle w:val="Normal"/>
        <w:spacing w:lineRule="auto" w:line="240" w:before="0" w:after="0"/>
        <w:jc w:val="center"/>
        <w:rPr>
          <w:sz w:val="22"/>
          <w:sz w:val="22"/>
          <w:color w:val="00000A"/>
        </w:rPr>
      </w:pPr>
      <w:r>
        <w:rPr/>
        <w:t>Anno accademico 2024/2025</w:t>
      </w:r>
      <w:r/>
    </w:p>
    <w:p>
      <w:pPr>
        <w:pStyle w:val="Normal"/>
        <w:spacing w:lineRule="auto" w:line="240" w:before="0" w:after="0"/>
        <w:jc w:val="center"/>
        <w:rPr>
          <w:sz w:val="22"/>
          <w:sz w:val="22"/>
          <w:color w:val="00000A"/>
        </w:rPr>
      </w:pPr>
      <w:r>
        <w:rPr/>
        <w:t>Archivistica, gestione e conservazione dei registri canonici</w:t>
      </w:r>
      <w:r/>
    </w:p>
    <w:p>
      <w:pPr>
        <w:pStyle w:val="Normal"/>
        <w:spacing w:lineRule="auto" w:line="240" w:before="0" w:after="0"/>
        <w:jc w:val="center"/>
        <w:rPr>
          <w:sz w:val="22"/>
          <w:sz w:val="22"/>
          <w:color w:val="00000A"/>
        </w:rPr>
      </w:pPr>
      <w:r>
        <w:rPr/>
        <w:t>Docente: don Diego Sartorelli</w:t>
      </w:r>
      <w:r/>
    </w:p>
    <w:p>
      <w:pPr>
        <w:pStyle w:val="Normal"/>
        <w:spacing w:lineRule="auto" w:line="240" w:before="0" w:after="0"/>
        <w:rPr>
          <w:sz w:val="22"/>
          <w:sz w:val="22"/>
          <w:color w:val="00000A"/>
        </w:rPr>
      </w:pPr>
      <w:bookmarkStart w:id="0" w:name="_GoBack"/>
      <w:bookmarkStart w:id="1" w:name="_GoBack"/>
      <w:bookmarkEnd w:id="1"/>
      <w:r>
        <w:rPr/>
      </w:r>
      <w:r/>
    </w:p>
    <w:p>
      <w:pPr>
        <w:pStyle w:val="Normal"/>
        <w:spacing w:lineRule="auto" w:line="240" w:before="0" w:after="0"/>
        <w:rPr>
          <w:sz w:val="22"/>
          <w:sz w:val="22"/>
          <w:color w:val="00000A"/>
        </w:rPr>
      </w:pPr>
      <w:r>
        <w:rPr/>
      </w:r>
      <w:r/>
    </w:p>
    <w:p>
      <w:pPr>
        <w:pStyle w:val="Normal"/>
        <w:spacing w:lineRule="auto" w:line="240" w:before="0" w:after="0"/>
        <w:jc w:val="both"/>
      </w:pPr>
      <w:r>
        <w:rPr>
          <w:caps/>
        </w:rPr>
        <w:t>1. Nozioni preliminari fondamentali</w:t>
      </w:r>
      <w:r/>
    </w:p>
    <w:p>
      <w:pPr>
        <w:pStyle w:val="Normal"/>
        <w:spacing w:lineRule="auto" w:line="240" w:before="0" w:after="0"/>
        <w:jc w:val="both"/>
      </w:pPr>
      <w:r>
        <w:rPr/>
        <w:t>1.1 Disposizioni di legge</w:t>
      </w:r>
      <w:r/>
    </w:p>
    <w:p>
      <w:pPr>
        <w:pStyle w:val="Normal"/>
        <w:spacing w:lineRule="auto" w:line="240" w:before="0" w:after="0"/>
        <w:jc w:val="both"/>
      </w:pPr>
      <w:r>
        <w:rPr/>
        <w:t xml:space="preserve">Can. 486 §2: “In unaquaque </w:t>
      </w:r>
      <w:r>
        <w:rPr>
          <w:b/>
        </w:rPr>
        <w:t>curia</w:t>
      </w:r>
      <w:r>
        <w:rPr/>
        <w:t xml:space="preserve"> erigatur, in loco tuto, archivum seu tabularium dioecesanum, in quo instrumenta et scripturae quae ad negotia dioecesana tum spiritualia tum temporalia spectant, certo ordine disposita et diligenter clausa custodiantur”.</w:t>
      </w:r>
      <w:r/>
    </w:p>
    <w:p>
      <w:pPr>
        <w:pStyle w:val="Normal"/>
        <w:spacing w:lineRule="auto" w:line="240" w:before="0" w:after="0"/>
        <w:jc w:val="both"/>
      </w:pPr>
      <w:r>
        <w:rPr/>
        <w:t xml:space="preserve">Can. 535 §4: “In unaquaque </w:t>
      </w:r>
      <w:r>
        <w:rPr>
          <w:b/>
        </w:rPr>
        <w:t>paroecia</w:t>
      </w:r>
      <w:r>
        <w:rPr/>
        <w:t xml:space="preserve"> habeatur tabularium seu archivum, in quo libri paroeciales custodiantur, una cum episcoporum epistulis aliisque documentis, necessitatis utilitatisve causa servandis; quae omnia, ab Episcopo dioecesano eiusve delegato, visitationis vel alio opportuno tempore inspicienda, parochus caveat ne ad extraneorum manus perveniant”.</w:t>
      </w:r>
      <w:r/>
    </w:p>
    <w:p>
      <w:pPr>
        <w:pStyle w:val="Normal"/>
        <w:spacing w:lineRule="auto" w:line="240" w:before="0" w:after="0"/>
        <w:jc w:val="both"/>
      </w:pPr>
      <w:r>
        <w:rPr/>
        <w:t xml:space="preserve">Can. 491 §1: “Curet Episcopus dioecesanus ut acta et documenta archivorum quoque </w:t>
      </w:r>
      <w:r>
        <w:rPr>
          <w:b/>
        </w:rPr>
        <w:t>ecclesiarum</w:t>
      </w:r>
      <w:r>
        <w:rPr/>
        <w:t xml:space="preserve"> cathedralium, collegiatarum, paroecialium, aliarumque in suo territorio exstantium diligenter serventur, atque inventaria seu catalogi conficiantur duobus exemplaribus, quorum alterum in proprio archivo, alterum in archivo dioecesano serventur”.</w:t>
      </w:r>
      <w:r/>
    </w:p>
    <w:p>
      <w:pPr>
        <w:pStyle w:val="Normal"/>
        <w:spacing w:lineRule="auto" w:line="240" w:before="0" w:after="0"/>
        <w:jc w:val="both"/>
        <w:rPr>
          <w:sz w:val="22"/>
          <w:sz w:val="22"/>
          <w:color w:val="00000A"/>
        </w:rPr>
      </w:pPr>
      <w:r>
        <w:rPr/>
        <w:t>Ma anche IVC, SVA, Associazioni pubbliche o private di fedeli, Università e Scuole, Fondazioni, ecc.</w:t>
      </w:r>
      <w:r/>
    </w:p>
    <w:p>
      <w:pPr>
        <w:pStyle w:val="Normal"/>
        <w:spacing w:lineRule="auto" w:line="240" w:before="0" w:after="0"/>
        <w:jc w:val="both"/>
      </w:pPr>
      <w:r>
        <w:rPr/>
        <w:t>1.</w:t>
      </w:r>
      <w:r>
        <w:rPr/>
        <w:t>2</w:t>
      </w:r>
      <w:r>
        <w:rPr/>
        <w:t xml:space="preserve"> Definizion</w:t>
      </w:r>
      <w:r>
        <w:rPr/>
        <w:t>e</w:t>
      </w:r>
      <w:r/>
    </w:p>
    <w:p>
      <w:pPr>
        <w:pStyle w:val="Normal"/>
        <w:spacing w:lineRule="auto" w:line="240" w:before="0" w:after="0"/>
        <w:jc w:val="both"/>
        <w:rPr>
          <w:sz w:val="22"/>
          <w:sz w:val="22"/>
          <w:color w:val="00000A"/>
        </w:rPr>
      </w:pPr>
      <w:r>
        <w:rPr/>
        <w:t>Ulpiano: “Archivum est locus publicus in quo instrumenta deponuntur”.</w:t>
      </w:r>
      <w:r/>
    </w:p>
    <w:p>
      <w:pPr>
        <w:pStyle w:val="Normal"/>
        <w:spacing w:lineRule="auto" w:line="240" w:before="0" w:after="0"/>
        <w:jc w:val="both"/>
        <w:rPr>
          <w:sz w:val="22"/>
          <w:sz w:val="22"/>
          <w:color w:val="00000A"/>
        </w:rPr>
      </w:pPr>
      <w:r>
        <w:rPr/>
        <w:t>Etimologia: archivum&lt;archéion = luogo di riunione dei magistrati, ma già dall'età ellenistica col significato attuale. [Sinonimi antichi: grammatophylakion, tabularium, scrinium, archa, armarium].</w:t>
      </w:r>
      <w:r/>
    </w:p>
    <w:p>
      <w:pPr>
        <w:pStyle w:val="Normal"/>
        <w:spacing w:lineRule="auto" w:line="240" w:before="0" w:after="0"/>
        <w:jc w:val="both"/>
      </w:pPr>
      <w:r>
        <w:rPr/>
        <w:t xml:space="preserve">Definizione scientifica: “L’archivio è il complesso dei documenti prodotti e acquisiti da un soggetto nell’esercizio delle sue attività” o in modo più articolato: “L’archivio è </w:t>
      </w:r>
      <w:r>
        <w:rPr>
          <w:rFonts w:eastAsia="MS Mincho"/>
        </w:rPr>
        <w:t>l’insieme dei documenti redatti e ricevuti da una persona fisica o giuridica nel corso delle sue attività come loro strumento e residuo, e conservati per proprio riferimento da quella stessa persona o da un suo successore legittimo”.</w:t>
      </w:r>
      <w:r/>
    </w:p>
    <w:p>
      <w:pPr>
        <w:pStyle w:val="Normal"/>
        <w:spacing w:lineRule="auto" w:line="240" w:before="0" w:after="0"/>
        <w:jc w:val="both"/>
        <w:rPr>
          <w:sz w:val="22"/>
          <w:sz w:val="22"/>
          <w:color w:val="00000A"/>
        </w:rPr>
      </w:pPr>
      <w:r>
        <w:rPr/>
        <w:t>L’archivio: 1. Raccolta ordinata di documenti; 2. Locale (o parte di esso) in cui si conserva la documentazione; 3. Istituto di conservazione (soggetto conservatore).</w:t>
      </w:r>
      <w:r/>
    </w:p>
    <w:p>
      <w:pPr>
        <w:pStyle w:val="Normal"/>
        <w:spacing w:lineRule="auto" w:line="240" w:before="0" w:after="0"/>
        <w:jc w:val="both"/>
      </w:pPr>
      <w:r>
        <w:rPr/>
        <w:t>1.</w:t>
      </w:r>
      <w:r>
        <w:rPr/>
        <w:t>3</w:t>
      </w:r>
      <w:r>
        <w:rPr/>
        <w:t xml:space="preserve"> Storia</w:t>
      </w:r>
      <w:r/>
    </w:p>
    <w:p>
      <w:pPr>
        <w:pStyle w:val="Normal"/>
        <w:spacing w:lineRule="auto" w:line="240" w:before="0" w:after="0"/>
        <w:jc w:val="both"/>
        <w:rPr>
          <w:sz w:val="22"/>
          <w:sz w:val="22"/>
          <w:color w:val="00000A"/>
        </w:rPr>
      </w:pPr>
      <w:r>
        <w:rPr/>
        <w:t>L’archivio esiste però non solo dove esistano scritture (leggi, sentenze, contratti) ma anche là dove l’uomo, volontariamente o meno, lascia tracce di sé (graffiti, incisioni, monumenti).</w:t>
      </w:r>
      <w:r/>
    </w:p>
    <w:p>
      <w:pPr>
        <w:pStyle w:val="Normal"/>
        <w:spacing w:lineRule="auto" w:line="240" w:before="0" w:after="0"/>
        <w:jc w:val="both"/>
        <w:rPr>
          <w:sz w:val="22"/>
          <w:sz w:val="22"/>
          <w:color w:val="00000A"/>
        </w:rPr>
      </w:pPr>
      <w:r>
        <w:rPr/>
        <w:t>Primi secoli: memoria dei martiri; imitazione delle prassi amministrative pubbliche. Dal 313 si struttura a Roma la figura del “chartarius Ecclesiae romanae”. Necessità di raccogliere soprattutto documenti di proprietà, consuetudini, privilegi, ecc.</w:t>
      </w:r>
      <w:r/>
    </w:p>
    <w:p>
      <w:pPr>
        <w:pStyle w:val="Normal"/>
        <w:spacing w:lineRule="auto" w:line="240" w:before="0" w:after="0"/>
        <w:jc w:val="both"/>
        <w:rPr>
          <w:sz w:val="22"/>
          <w:sz w:val="22"/>
          <w:color w:val="00000A"/>
        </w:rPr>
      </w:pPr>
      <w:r>
        <w:rPr/>
        <w:t>A metà del XV secolo archivi vescovili, capitolari e monastici sono già una realtà consolidata. Per questo le disposizioni del Concilio tridentino trovano non solo rapida applicazione, ma in alcuni casi erano in qualche modo già applicate.</w:t>
      </w:r>
      <w:r/>
    </w:p>
    <w:p>
      <w:pPr>
        <w:pStyle w:val="Normal"/>
        <w:spacing w:lineRule="auto" w:line="240" w:before="0" w:after="0"/>
        <w:jc w:val="both"/>
        <w:rPr>
          <w:sz w:val="22"/>
          <w:sz w:val="22"/>
          <w:color w:val="00000A"/>
        </w:rPr>
      </w:pPr>
      <w:r>
        <w:rPr/>
        <w:t>Sono da tenere in considerazione le norme emanate da S. Carlo Borromeo per la Diocesi e la Metropoli, indicate da Pio V come da usarsi universalmente (breve “Inter omnes” giugno 1566), e soprattutto, dopo la costituzione dell'Archivio segreto vaticano del 1612 (Paolo V), la costituzione apostolica “Maxima vigilantia” di Benedetto XIII del 1727 destinata a tutti gli Ordinari, Capitoli e Superiori maggiori d'Italia. Queste normative, in modo molto sintetico, confluirono nel CIC 1917.</w:t>
      </w:r>
      <w:r/>
    </w:p>
    <w:p>
      <w:pPr>
        <w:pStyle w:val="Normal"/>
        <w:spacing w:lineRule="auto" w:line="240" w:before="0" w:after="0"/>
        <w:jc w:val="both"/>
      </w:pPr>
      <w:r>
        <w:rPr/>
        <w:t>1.</w:t>
      </w:r>
      <w:r>
        <w:rPr/>
        <w:t>4</w:t>
      </w:r>
      <w:r>
        <w:rPr/>
        <w:t xml:space="preserve"> Concetti archivistici basilari</w:t>
      </w:r>
      <w:r/>
    </w:p>
    <w:p>
      <w:pPr>
        <w:pStyle w:val="Normal"/>
        <w:spacing w:lineRule="auto" w:line="240" w:before="0" w:after="0"/>
        <w:jc w:val="both"/>
      </w:pPr>
      <w:r>
        <w:rPr>
          <w:u w:val="single"/>
        </w:rPr>
        <w:t>Fasi della vita</w:t>
      </w:r>
      <w:r>
        <w:rPr/>
        <w:t xml:space="preserve"> di un archivio: 1. Corrente (o in formazione, uso quotidiano e riservatezza); 2. Deposito (possibilità di ordine pratico); 3. Storico (pubblica consultazione dopo alcuni decenni).</w:t>
      </w:r>
      <w:r/>
    </w:p>
    <w:p>
      <w:pPr>
        <w:pStyle w:val="Normal"/>
        <w:spacing w:lineRule="auto" w:line="240" w:before="0" w:after="0"/>
        <w:jc w:val="both"/>
      </w:pPr>
      <w:r>
        <w:rPr>
          <w:u w:val="single"/>
        </w:rPr>
        <w:t>Il documento</w:t>
      </w:r>
      <w:r>
        <w:rPr/>
        <w:t xml:space="preserve"> (“documentum”) è il prodotto di un’azione ed ha relazione con chi lo ho prodotto (soggetto produttore) e con colui o coloro che ne sono i destinatari; è oggettivo e autentico (anche se si dovesse rivelare un falso → storia delle fonti del diritto); è strumento/mezzo per raggiungere uno scopo.</w:t>
      </w:r>
      <w:r/>
    </w:p>
    <w:p>
      <w:pPr>
        <w:pStyle w:val="Normal"/>
        <w:spacing w:lineRule="auto" w:line="240" w:before="0" w:after="0"/>
        <w:jc w:val="both"/>
      </w:pPr>
      <w:r>
        <w:rPr/>
        <w:t xml:space="preserve">Sue componenti sono: </w:t>
      </w:r>
      <w:r>
        <w:rPr>
          <w:rFonts w:eastAsia="MS Mincho"/>
        </w:rPr>
        <w:t>1. il supporto (carta, pergamena, sms, email, …); 2. il contenuto (cosa dice); 3. la forma (come lo dice, essenziale per il diritto → diplomatica); 4. l'atto cioè l'azione che si intende compiere (a. mettere in atto un'azione specifica: ricorso, contratto, informazioni, ecc.; b. fornire prova di un'azione avvenuta oralmente: patto nuziale, giuramento, ricevuta di pagamento; c. dare informazioni per uso proprio o generale: messaggi, annotazioni; d. fornire istruzioni: compilare registri, organizzazre votazioni; e. rendere possibile la redazione di altri documenti: formulari; eccetera); 5. persone coinvolte (mittente, destinatario, altri indirettamente); 6. il vincolo archivistico ovvero la relazione che ogni documento archivistico ha con i documenti archivistici che partecipano alla stessa attività e si accumulano nel corso delle funzioni del produttore.</w:t>
      </w:r>
      <w:r/>
    </w:p>
    <w:p>
      <w:pPr>
        <w:pStyle w:val="Normal"/>
        <w:spacing w:lineRule="auto" w:line="240" w:before="0" w:after="0"/>
        <w:jc w:val="both"/>
      </w:pPr>
      <w:r>
        <w:rPr/>
        <w:t xml:space="preserve">Come si forma un archivio? Il processo è noto come </w:t>
      </w:r>
      <w:r>
        <w:rPr>
          <w:u w:val="single"/>
        </w:rPr>
        <w:t>sedimentazione</w:t>
      </w:r>
      <w:r>
        <w:rPr/>
        <w:t>: «è il risultato di un atto di volontà ed è coerente col valore attribuito alla memoria dell’autore-detentore dei documenti del passato». In altre parole: gli archivi non si formano spontaneamente, ma rappresentano «l’esito di una scelta intenzionale, anche se a volte poco ponderata, profondamente legata al contesto storico in cui avviene». La sedimentazione consta di due momenti: il depositarsi e il decantarsi (cfr. una stanza disordinata), azioni complementari ma separate nel tempo.</w:t>
      </w:r>
      <w:r/>
    </w:p>
    <w:p>
      <w:pPr>
        <w:pStyle w:val="Normal"/>
        <w:spacing w:lineRule="auto" w:line="240" w:before="0" w:after="0"/>
        <w:jc w:val="both"/>
        <w:rPr>
          <w:sz w:val="22"/>
          <w:sz w:val="22"/>
          <w:color w:val="00000A"/>
        </w:rPr>
      </w:pPr>
      <w:r>
        <w:rPr/>
      </w:r>
      <w:r/>
    </w:p>
    <w:p>
      <w:pPr>
        <w:pStyle w:val="Normal"/>
        <w:spacing w:lineRule="auto" w:line="240" w:before="0" w:after="0"/>
        <w:jc w:val="both"/>
        <w:rPr>
          <w:caps/>
        </w:rPr>
      </w:pPr>
      <w:r>
        <w:rPr>
          <w:caps/>
        </w:rPr>
        <w:t>2. L’Archivio di curia</w:t>
      </w:r>
      <w:r/>
    </w:p>
    <w:p>
      <w:pPr>
        <w:pStyle w:val="Normal"/>
        <w:spacing w:lineRule="auto" w:line="240" w:before="0" w:after="0"/>
        <w:jc w:val="both"/>
        <w:rPr>
          <w:sz w:val="22"/>
          <w:sz w:val="22"/>
          <w:color w:val="00000A"/>
        </w:rPr>
      </w:pPr>
      <w:r>
        <w:rPr/>
        <w:t>2.1 “De archivis” (art. 2 capitis II). Uno e trino? A. corrente (can. 486 §2); A. segreto (can. 489 §1); A. storico (can. 491 §2).</w:t>
      </w:r>
      <w:r/>
    </w:p>
    <w:p>
      <w:pPr>
        <w:pStyle w:val="Normal"/>
        <w:spacing w:lineRule="auto" w:line="240" w:before="0" w:after="0"/>
        <w:jc w:val="both"/>
        <w:rPr>
          <w:sz w:val="22"/>
          <w:sz w:val="22"/>
          <w:color w:val="00000A"/>
        </w:rPr>
      </w:pPr>
      <w:r>
        <w:rPr/>
        <w:t>Ogni archivio però – come si diceva – ha delle fasi di vita (in formazione, di deposito, storico), è quindi preferibile dire che l’archivio di curia è uno solo (con le fasi di cui sopra, di cui una, lo storico, è dotata di una propria fisionomia). L’archivio segreto – come si vedrà – è altra cosa, limitata nell’uso e nel contenuto e nella possibilità di accesso.</w:t>
      </w:r>
      <w:r/>
    </w:p>
    <w:p>
      <w:pPr>
        <w:pStyle w:val="Normal"/>
        <w:spacing w:lineRule="auto" w:line="240" w:before="0" w:after="0"/>
        <w:jc w:val="both"/>
        <w:rPr>
          <w:sz w:val="22"/>
          <w:sz w:val="22"/>
          <w:color w:val="00000A"/>
        </w:rPr>
      </w:pPr>
      <w:r>
        <w:rPr/>
        <w:t>Esiste la possibilità che ci siano altri archivi: quello personale del Vescovo (corrispondenza soprattutto), del Vicario generale e degli altri Ordinari oltre a quelli dei singoli uffici della Curia [non tutto va protocollato].</w:t>
      </w:r>
      <w:r/>
    </w:p>
    <w:p>
      <w:pPr>
        <w:pStyle w:val="Normal"/>
        <w:spacing w:lineRule="auto" w:line="240" w:before="0" w:after="0"/>
        <w:jc w:val="both"/>
        <w:rPr>
          <w:sz w:val="22"/>
          <w:sz w:val="22"/>
          <w:color w:val="00000A"/>
        </w:rPr>
      </w:pPr>
      <w:r>
        <w:rPr/>
        <w:t xml:space="preserve">2.2 “Custodiantur”. Compito principale degli archivi è quello di custodire “tutti i documenti che riguardano la diocesi o le parrocchie” (can. 486 § 1) ovvero “gli strumenti e le scritture che riguardano le questioni spirituali e temporali della diocesi” (§ 2). </w:t>
      </w:r>
      <w:r/>
    </w:p>
    <w:p>
      <w:pPr>
        <w:pStyle w:val="Normal"/>
        <w:spacing w:lineRule="auto" w:line="240" w:before="0" w:after="0"/>
        <w:jc w:val="both"/>
        <w:rPr>
          <w:sz w:val="22"/>
          <w:sz w:val="22"/>
          <w:color w:val="00000A"/>
        </w:rPr>
      </w:pPr>
      <w:r>
        <w:rPr/>
        <w:t>“</w:t>
      </w:r>
      <w:r>
        <w:rPr/>
        <w:t>Diligenter clausa”: prima cosa per una autentica custodia è la chiusura (“ubi manus multae sunt, claude” Sir 42, 7). Can. 487 §1 norma tassativa</w:t>
      </w:r>
      <w:r/>
    </w:p>
    <w:p>
      <w:pPr>
        <w:pStyle w:val="Normal"/>
        <w:spacing w:lineRule="auto" w:line="240" w:before="0" w:after="0"/>
        <w:jc w:val="both"/>
        <w:rPr>
          <w:sz w:val="22"/>
          <w:sz w:val="22"/>
          <w:color w:val="00000A"/>
        </w:rPr>
      </w:pPr>
      <w:r>
        <w:rPr/>
        <w:t>“</w:t>
      </w:r>
      <w:r>
        <w:rPr/>
        <w:t>Iis quorum interest”: la chiusura non significa assoluta inconsultabilità. Tuttavia secondo alcuni principi generali: 1) entrare -&gt; per prendere è possibile con licenza del Vescovo o, insieme del Moderator curiae e del Cancelliere. Licenza esplicita. Se manca il moderator? Il vicario generale. 2) ottenere copia (non l’originale -&gt; can. 488 breve tempo e consenso) se si è interessati (personalmente o per procuratore). Copia autentica: come si fa?</w:t>
      </w:r>
      <w:r/>
    </w:p>
    <w:p>
      <w:pPr>
        <w:pStyle w:val="Normal"/>
        <w:spacing w:lineRule="auto" w:line="240" w:before="0" w:after="0"/>
        <w:jc w:val="both"/>
        <w:rPr>
          <w:sz w:val="22"/>
          <w:sz w:val="22"/>
          <w:color w:val="00000A"/>
        </w:rPr>
      </w:pPr>
      <w:r>
        <w:rPr/>
        <w:t>Diverso invece per gli archivi storici (ok chiusura -&gt; beni culturali; sì consultazione -&gt; secondo i regolamenti, no all’asportazione, se non per mostre o usi interni della Curia stessa).</w:t>
      </w:r>
      <w:r/>
    </w:p>
    <w:p>
      <w:pPr>
        <w:pStyle w:val="Normal"/>
        <w:spacing w:lineRule="auto" w:line="240" w:before="0" w:after="0"/>
        <w:jc w:val="both"/>
        <w:rPr>
          <w:sz w:val="22"/>
          <w:sz w:val="22"/>
          <w:color w:val="00000A"/>
        </w:rPr>
      </w:pPr>
      <w:r>
        <w:rPr/>
        <w:t>2.3 I responsabili. Li abbiamo già visti in azione: Vescovo, Cancelliere e Moderator (Vicario generale). Possiamo avere altre figure? Il notaio (cann. 483-484), ma anche l’archivista (sia per la parte storica ed anche di deposito, sia per l’ordinamento -&gt; can. 486 §2).</w:t>
      </w:r>
      <w:r/>
    </w:p>
    <w:p>
      <w:pPr>
        <w:pStyle w:val="Normal"/>
        <w:spacing w:lineRule="auto" w:line="240" w:before="0" w:after="0"/>
        <w:jc w:val="both"/>
        <w:rPr>
          <w:sz w:val="22"/>
          <w:sz w:val="22"/>
          <w:color w:val="00000A"/>
        </w:rPr>
      </w:pPr>
      <w:r>
        <w:rPr/>
        <w:t>2.3.1 Il cancelliere ed i notai. Fare l’archivio. Custodirlo. Ordinarlo. Gestirlo.</w:t>
      </w:r>
      <w:r/>
    </w:p>
    <w:p>
      <w:pPr>
        <w:pStyle w:val="Normal"/>
        <w:spacing w:lineRule="auto" w:line="240" w:before="0" w:after="0"/>
        <w:jc w:val="both"/>
        <w:rPr>
          <w:sz w:val="22"/>
          <w:sz w:val="22"/>
          <w:color w:val="00000A"/>
        </w:rPr>
      </w:pPr>
      <w:r>
        <w:rPr/>
        <w:t>2.4 “Instrumenta et scripturae”</w:t>
      </w:r>
      <w:r/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sz w:val="22"/>
          <w:sz w:val="22"/>
          <w:color w:val="00000A"/>
        </w:rPr>
      </w:pPr>
      <w:r>
        <w:rPr/>
        <w:t>Tutti i documenti che riguardano le questioni temporali e spirituali della diocesi (can. 486 §2) e delle persone e degli organismi relativi (p.e. rescritti della S. Sede a favore della Diocesi o altri enti ad essa soggetti);</w:t>
      </w:r>
      <w:r/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sz w:val="22"/>
          <w:sz w:val="22"/>
          <w:color w:val="00000A"/>
        </w:rPr>
      </w:pPr>
      <w:r>
        <w:rPr/>
        <w:t>Copia degli inventari o cataloghi degli atti e dei documenti di ciascuna delle chiese (can. 491 §1);</w:t>
      </w:r>
      <w:r/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sz w:val="22"/>
          <w:sz w:val="22"/>
          <w:color w:val="00000A"/>
        </w:rPr>
      </w:pPr>
      <w:r>
        <w:rPr/>
        <w:t>Copia dell’inventario dei beni ecclesiastici mobili ed immobili aggiornato (can. 1283, 3°);</w:t>
      </w:r>
      <w:r/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sz w:val="22"/>
          <w:sz w:val="22"/>
          <w:color w:val="00000A"/>
        </w:rPr>
      </w:pPr>
      <w:r>
        <w:rPr/>
        <w:t>Copia autentica, se possibile, dei documenti e degli strumenti sui quali si fondano i diritti della chiesa o istituto (can. 1284 §2, 9°);</w:t>
      </w:r>
      <w:r/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sz w:val="22"/>
          <w:sz w:val="22"/>
          <w:color w:val="00000A"/>
        </w:rPr>
      </w:pPr>
      <w:r>
        <w:rPr/>
        <w:t>Copia delle tavole di fondazione (can. 1306 §2);</w:t>
      </w:r>
      <w:r/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</w:pPr>
      <w:r>
        <w:rPr/>
        <w:t xml:space="preserve">Registro dei cresimati (can. 895), </w:t>
      </w:r>
      <w:r>
        <w:rPr>
          <w:u w:val="single"/>
        </w:rPr>
        <w:t>salva diversa disposizione</w:t>
      </w:r>
      <w:r>
        <w:rPr/>
        <w:t xml:space="preserve"> delle conferenze episcopali (nuovo);</w:t>
      </w:r>
      <w:r/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sz w:val="22"/>
          <w:sz w:val="22"/>
          <w:color w:val="00000A"/>
        </w:rPr>
      </w:pPr>
      <w:r>
        <w:rPr/>
        <w:t>Registro (can. 1053 §2 “libro speciale”) e documenti relativi alle ordinazioni (cfr. cann. 1050-1052);</w:t>
      </w:r>
      <w:r/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Rule="auto" w:line="240" w:before="0" w:after="0"/>
        <w:jc w:val="both"/>
      </w:pPr>
      <w:r>
        <w:rPr>
          <w:i/>
        </w:rPr>
        <w:t>Excursus</w:t>
      </w:r>
      <w:r>
        <w:rPr/>
        <w:t>. Pratiche relative all’Ordinazione (con particolare riferimento ai Seminari ed alla riservatezza).</w:t>
      </w:r>
      <w:r/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</w:pPr>
      <w:r>
        <w:rPr>
          <w:u w:val="single"/>
        </w:rPr>
        <w:t>Diritto particolare</w:t>
      </w:r>
      <w:r>
        <w:rPr/>
        <w:t>: Registro e documenti relativi all’</w:t>
      </w:r>
      <w:r>
        <w:rPr>
          <w:i/>
        </w:rPr>
        <w:t xml:space="preserve">Ordo virginum </w:t>
      </w:r>
      <w:r>
        <w:rPr/>
        <w:t>e altre forme di consacrazione pubblica diocesane -&gt; IVC e SVA, Prelature personali e Associazioni pubbliche universali clericali incardinanti;</w:t>
      </w:r>
      <w:r/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sz w:val="22"/>
          <w:sz w:val="22"/>
          <w:color w:val="00000A"/>
        </w:rPr>
      </w:pPr>
      <w:r>
        <w:rPr/>
        <w:t>Libro dei matrimoni per la dispensa dalla forma canonica (can. 1121 § 3 → anche in quello parrocchiale);</w:t>
      </w:r>
      <w:r/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sz w:val="22"/>
          <w:sz w:val="22"/>
          <w:color w:val="00000A"/>
        </w:rPr>
      </w:pPr>
      <w:r>
        <w:rPr/>
        <w:t>Copia del verbale della dedicazione o benedizione delle chiese e dei cimiteri (can. 1208);</w:t>
      </w:r>
      <w:r/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sz w:val="22"/>
          <w:sz w:val="22"/>
          <w:color w:val="00000A"/>
        </w:rPr>
      </w:pPr>
      <w:r>
        <w:rPr/>
        <w:t>Libro dei catecumeni (can. 788 §1) → OICA nell'edizione nazionale;</w:t>
      </w:r>
      <w:r/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</w:pPr>
      <w:r>
        <w:rPr>
          <w:u w:val="single"/>
        </w:rPr>
        <w:t>Diritto particolare</w:t>
      </w:r>
      <w:r>
        <w:rPr/>
        <w:t>: regesto (estratto) dei registri parrocchiali (cfr. CIC17 c. 470 §3)</w:t>
      </w:r>
      <w:r/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</w:pPr>
      <w:r>
        <w:rPr>
          <w:u w:val="single"/>
        </w:rPr>
        <w:t>Diritto particolare</w:t>
      </w:r>
      <w:r>
        <w:rPr/>
        <w:t>: altri archivi, in deposito (con verbale di trasmissione ed inventario);</w:t>
      </w:r>
      <w:r/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</w:pPr>
      <w:r>
        <w:rPr>
          <w:u w:val="single"/>
        </w:rPr>
        <w:t>Diritto civile</w:t>
      </w:r>
      <w:r>
        <w:rPr/>
        <w:t>: libri contabili e documenti relativi (fatture);</w:t>
      </w:r>
      <w:r/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sz w:val="22"/>
          <w:sz w:val="22"/>
          <w:color w:val="00000A"/>
        </w:rPr>
      </w:pPr>
      <w:r>
        <w:rPr/>
        <w:t>Strumenti di indole legislativa o pastorale più rilevanti (AAS; Bollettino diocesano; Enchiridion; Sinodi; Piani pastorali; Decreti delle visite pastorali).</w:t>
      </w:r>
      <w:r/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Rule="auto" w:line="240" w:before="0" w:after="0"/>
        <w:jc w:val="both"/>
      </w:pPr>
      <w:r>
        <w:rPr>
          <w:i/>
        </w:rPr>
        <w:t>Excursus</w:t>
      </w:r>
      <w:r>
        <w:rPr/>
        <w:t>. Lo scarto archivistico.</w:t>
      </w:r>
      <w:r/>
    </w:p>
    <w:p>
      <w:pPr>
        <w:pStyle w:val="Normal"/>
        <w:spacing w:lineRule="auto" w:line="240" w:before="0" w:after="0"/>
        <w:jc w:val="both"/>
        <w:rPr>
          <w:sz w:val="22"/>
          <w:sz w:val="22"/>
          <w:color w:val="00000A"/>
        </w:rPr>
      </w:pPr>
      <w:r>
        <w:rPr/>
        <w:t>2.5 L’Archivio storico. Dimensione culturale e funzione pastorale.</w:t>
      </w:r>
      <w:r/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Rule="auto" w:line="240" w:before="0" w:after="0"/>
        <w:jc w:val="both"/>
        <w:rPr>
          <w:sz w:val="22"/>
          <w:sz w:val="22"/>
          <w:color w:val="00000A"/>
        </w:rPr>
      </w:pPr>
      <w:r>
        <w:rPr/>
        <w:t>Excursus. Curia romana: dicasteri ed archivi.</w:t>
      </w:r>
      <w:r/>
    </w:p>
    <w:p>
      <w:pPr>
        <w:pStyle w:val="Normal"/>
        <w:spacing w:lineRule="auto" w:line="240" w:before="0" w:after="0"/>
        <w:jc w:val="both"/>
        <w:rPr>
          <w:sz w:val="22"/>
          <w:sz w:val="22"/>
          <w:color w:val="00000A"/>
        </w:rPr>
      </w:pPr>
      <w:r>
        <w:rPr/>
      </w:r>
      <w:r/>
    </w:p>
    <w:p>
      <w:pPr>
        <w:pStyle w:val="Normal"/>
        <w:spacing w:lineRule="auto" w:line="240" w:before="0" w:after="0"/>
        <w:jc w:val="both"/>
      </w:pPr>
      <w:r>
        <w:rPr/>
        <w:t>3. L’</w:t>
      </w:r>
      <w:r>
        <w:rPr/>
        <w:t>ARCHIVIO SEGRETO</w:t>
      </w:r>
      <w:r/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sz w:val="22"/>
          <w:sz w:val="22"/>
          <w:color w:val="00000A"/>
        </w:rPr>
      </w:pPr>
      <w:r>
        <w:rPr/>
        <w:t>Dispensa da impedimento matrimoniale occulto concesso in foro interno non sacramentale, salvo altre disposizioni della Penitenzieria (can. 1082);</w:t>
      </w:r>
      <w:r/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sz w:val="22"/>
          <w:sz w:val="22"/>
          <w:color w:val="00000A"/>
        </w:rPr>
      </w:pPr>
      <w:r>
        <w:rPr/>
        <w:t>Registro dei matrimoni segreti (can. 1133);</w:t>
      </w:r>
      <w:r/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sz w:val="22"/>
          <w:sz w:val="22"/>
          <w:color w:val="00000A"/>
        </w:rPr>
      </w:pPr>
      <w:r>
        <w:rPr/>
        <w:t>Documento da cui risultano le ammonizioni e riprensioni effettuate dall’Ordinario come rimedi penali (can. 1339 §3);</w:t>
      </w:r>
      <w:r/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sz w:val="22"/>
          <w:sz w:val="22"/>
          <w:color w:val="00000A"/>
        </w:rPr>
      </w:pPr>
      <w:r>
        <w:rPr/>
        <w:t>Documenti relativi alle cause criminali in materia di costumi; gli atti dell’indagine previa e i decreti dell’Ordinario in materia di processo penale, con i quali l’indagine ha inizio o si conclude e tutto ciò che precede l’indagine, se non necessari al processo (can. 1719);</w:t>
      </w:r>
      <w:r/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eastAsia="Liberation Serif" w:cs="Liberation Serif"/>
        </w:rPr>
      </w:pPr>
      <w:r>
        <w:rPr/>
        <w:t>Diritto particolare: dispense dagli impedimenti e irregolarità agli ordini sacri (cann. 1040-1049), la documentazione relativa agli scrutini dei candidati agli ordini sacri (cann. 1051-1052), i decreti di dismissione da un istituto religioso (can. 700), i documenti relativi alla perdita dello stato clericale (can. 290-293) -&gt; sconsigliato.</w:t>
      </w:r>
      <w:r/>
    </w:p>
    <w:p>
      <w:pPr>
        <w:pStyle w:val="Normal"/>
        <w:spacing w:lineRule="auto" w:line="240" w:before="0" w:after="0"/>
        <w:jc w:val="both"/>
      </w:pPr>
      <w:r>
        <w:rPr>
          <w:rFonts w:eastAsia="Liberation Serif" w:cs="Liberation Serif"/>
        </w:rPr>
        <w:t xml:space="preserve">   </w:t>
      </w:r>
      <w:r>
        <w:rPr/>
        <w:t>NB: Ogni anno, alla notizia della morte dei rei, devono essere distrutti tutti i documenti delle cause criminali in maniera di costumi che li riguardano; se ancora viventi, dopo dieci anni dalla sentenza di condanna, si dovrà conservare solo un breve sommario con il testo della sentenza definitiva (cfr. can. 489 §2).</w:t>
      </w:r>
      <w:r/>
    </w:p>
    <w:p>
      <w:pPr>
        <w:pStyle w:val="Normal"/>
        <w:spacing w:lineRule="auto" w:line="240" w:before="0" w:after="0"/>
        <w:jc w:val="both"/>
        <w:rPr>
          <w:sz w:val="22"/>
          <w:sz w:val="22"/>
          <w:color w:val="00000A"/>
        </w:rPr>
      </w:pPr>
      <w:r>
        <w:rPr/>
      </w:r>
      <w:r/>
    </w:p>
    <w:p>
      <w:pPr>
        <w:pStyle w:val="Normal"/>
        <w:spacing w:lineRule="auto" w:line="240" w:before="0" w:after="0"/>
        <w:jc w:val="both"/>
      </w:pPr>
      <w:r>
        <w:rPr/>
        <w:t>4. L’</w:t>
      </w:r>
      <w:r>
        <w:rPr/>
        <w:t>ARCHIVIO PARROCCHIALE</w:t>
      </w:r>
      <w:r/>
    </w:p>
    <w:p>
      <w:pPr>
        <w:pStyle w:val="Normal"/>
        <w:numPr>
          <w:ilvl w:val="0"/>
          <w:numId w:val="3"/>
        </w:numPr>
        <w:spacing w:lineRule="auto" w:line="240" w:before="0" w:after="0"/>
        <w:rPr>
          <w:sz w:val="22"/>
          <w:sz w:val="22"/>
          <w:color w:val="00000A"/>
        </w:rPr>
      </w:pPr>
      <w:r>
        <w:rPr/>
        <w:t>Registri dei battesimi, matrimoni, defunti (can. 535 §1) [+CEI: Cresime; Amministrazione dei beni; Legati; Raccomandati: Status animarum; Prime comunioni; Cronaca parrocchiale]</w:t>
      </w:r>
      <w:r/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Rule="auto" w:line="240" w:before="0" w:after="0"/>
      </w:pPr>
      <w:r>
        <w:rPr>
          <w:i/>
        </w:rPr>
        <w:t>Excursus</w:t>
      </w:r>
      <w:r>
        <w:rPr/>
        <w:t>. Le rettifiche degli atti parrocchiali.</w:t>
      </w:r>
      <w:r/>
    </w:p>
    <w:p>
      <w:pPr>
        <w:pStyle w:val="Normal"/>
        <w:numPr>
          <w:ilvl w:val="0"/>
          <w:numId w:val="3"/>
        </w:numPr>
        <w:spacing w:lineRule="auto" w:line="240" w:before="0" w:after="0"/>
        <w:rPr>
          <w:sz w:val="22"/>
          <w:sz w:val="22"/>
          <w:color w:val="00000A"/>
        </w:rPr>
      </w:pPr>
      <w:r>
        <w:rPr/>
        <w:t>Registro delle Messe (can. 958)</w:t>
      </w:r>
      <w:r/>
    </w:p>
    <w:p>
      <w:pPr>
        <w:pStyle w:val="Normal"/>
        <w:numPr>
          <w:ilvl w:val="0"/>
          <w:numId w:val="3"/>
        </w:numPr>
        <w:spacing w:lineRule="auto" w:line="240" w:before="0" w:after="0"/>
        <w:rPr>
          <w:sz w:val="22"/>
          <w:sz w:val="22"/>
          <w:color w:val="00000A"/>
        </w:rPr>
      </w:pPr>
      <w:r>
        <w:rPr/>
        <w:t>Atti di dedicazione/benedizione chiesa e benedizione cimitero (can. 1208)</w:t>
      </w:r>
      <w:r/>
    </w:p>
    <w:p>
      <w:pPr>
        <w:pStyle w:val="Normal"/>
        <w:numPr>
          <w:ilvl w:val="0"/>
          <w:numId w:val="3"/>
        </w:numPr>
        <w:spacing w:lineRule="auto" w:line="240" w:before="0" w:after="0"/>
        <w:rPr>
          <w:sz w:val="22"/>
          <w:sz w:val="22"/>
          <w:color w:val="00000A"/>
        </w:rPr>
      </w:pPr>
      <w:r>
        <w:rPr/>
        <w:t>Tavole di fondazione (can. 1306) e tabella degli oneri annessi (can. 1307) con relativo registro</w:t>
      </w:r>
      <w:r/>
    </w:p>
    <w:p>
      <w:pPr>
        <w:pStyle w:val="Normal"/>
        <w:numPr>
          <w:ilvl w:val="0"/>
          <w:numId w:val="3"/>
        </w:numPr>
        <w:spacing w:lineRule="auto" w:line="240" w:before="0" w:after="0"/>
        <w:rPr>
          <w:sz w:val="22"/>
          <w:sz w:val="22"/>
          <w:color w:val="00000A"/>
        </w:rPr>
      </w:pPr>
      <w:r>
        <w:rPr/>
        <w:t>Documenti e strumenti circa i diritti della parrocchia (can. 1284 §2, 9°)</w:t>
      </w:r>
      <w:r/>
    </w:p>
    <w:p>
      <w:pPr>
        <w:pStyle w:val="Normal"/>
        <w:numPr>
          <w:ilvl w:val="0"/>
          <w:numId w:val="3"/>
        </w:numPr>
        <w:spacing w:lineRule="auto" w:line="240" w:before="0" w:after="0"/>
        <w:rPr>
          <w:sz w:val="22"/>
          <w:sz w:val="22"/>
          <w:color w:val="00000A"/>
        </w:rPr>
      </w:pPr>
      <w:r>
        <w:rPr/>
        <w:t>Libri delle entrate e delle uscite (can. 1284 §2, 7°)</w:t>
      </w:r>
      <w:r/>
    </w:p>
    <w:p>
      <w:pPr>
        <w:pStyle w:val="Normal"/>
        <w:numPr>
          <w:ilvl w:val="0"/>
          <w:numId w:val="3"/>
        </w:numPr>
        <w:spacing w:lineRule="auto" w:line="240" w:before="0" w:after="0"/>
        <w:rPr>
          <w:sz w:val="22"/>
          <w:sz w:val="22"/>
          <w:color w:val="00000A"/>
        </w:rPr>
      </w:pPr>
      <w:r>
        <w:rPr/>
        <w:t>Pratiche matrimoniali (fascicoli o filze)</w:t>
      </w:r>
      <w:r/>
    </w:p>
    <w:p>
      <w:pPr>
        <w:pStyle w:val="Normal"/>
        <w:numPr>
          <w:ilvl w:val="0"/>
          <w:numId w:val="3"/>
        </w:numPr>
        <w:spacing w:lineRule="auto" w:line="240" w:before="0" w:after="0"/>
        <w:rPr>
          <w:sz w:val="22"/>
          <w:sz w:val="22"/>
          <w:color w:val="00000A"/>
        </w:rPr>
      </w:pPr>
      <w:r>
        <w:rPr/>
        <w:t>Decreti di nomina del parroco e degli altri collaboratori</w:t>
      </w:r>
      <w:r/>
    </w:p>
    <w:p>
      <w:pPr>
        <w:pStyle w:val="Normal"/>
        <w:numPr>
          <w:ilvl w:val="0"/>
          <w:numId w:val="3"/>
        </w:numPr>
        <w:spacing w:lineRule="auto" w:line="240" w:before="0" w:after="0"/>
        <w:rPr>
          <w:sz w:val="22"/>
          <w:sz w:val="22"/>
          <w:color w:val="00000A"/>
        </w:rPr>
      </w:pPr>
      <w:r>
        <w:rPr/>
        <w:t>Fonti legislative</w:t>
      </w:r>
      <w:r/>
    </w:p>
    <w:p>
      <w:pPr>
        <w:pStyle w:val="Normal"/>
        <w:numPr>
          <w:ilvl w:val="0"/>
          <w:numId w:val="3"/>
        </w:numPr>
        <w:spacing w:lineRule="auto" w:line="240" w:before="0" w:after="0"/>
        <w:rPr>
          <w:sz w:val="22"/>
          <w:sz w:val="22"/>
          <w:color w:val="00000A"/>
        </w:rPr>
      </w:pPr>
      <w:r>
        <w:rPr/>
        <w:t>Rescritti</w:t>
      </w:r>
      <w:r/>
    </w:p>
    <w:p>
      <w:pPr>
        <w:pStyle w:val="Normal"/>
        <w:spacing w:lineRule="auto" w:line="240" w:before="0" w:after="0"/>
        <w:jc w:val="both"/>
        <w:rPr>
          <w:sz w:val="22"/>
          <w:sz w:val="22"/>
          <w:color w:val="00000A"/>
        </w:rPr>
      </w:pPr>
      <w:r>
        <w:rPr/>
      </w:r>
      <w:r/>
    </w:p>
    <w:p>
      <w:pPr>
        <w:pStyle w:val="Normal"/>
        <w:spacing w:lineRule="auto" w:line="240" w:before="0" w:after="0"/>
        <w:jc w:val="both"/>
      </w:pPr>
      <w:r>
        <w:rPr/>
        <w:t xml:space="preserve">5. </w:t>
      </w:r>
      <w:r>
        <w:rPr/>
        <w:t>GESTIONE DEGLI ARCHIVI</w:t>
      </w:r>
      <w:r>
        <w:rPr/>
        <w:t xml:space="preserve"> (Protocollo, titolario, </w:t>
      </w:r>
      <w:r>
        <w:rPr/>
        <w:t>tutela della privacy</w:t>
      </w:r>
      <w:r>
        <w:rPr/>
        <w:t>)</w:t>
      </w:r>
      <w:r/>
    </w:p>
    <w:p>
      <w:pPr>
        <w:pStyle w:val="Normal"/>
        <w:spacing w:lineRule="auto" w:line="240" w:before="0" w:after="0"/>
        <w:jc w:val="both"/>
      </w:pPr>
      <w:r>
        <w:rPr/>
        <w:t>Cfr. i</w:t>
      </w:r>
      <w:r>
        <w:rPr/>
        <w:t>ndicazioni della CEI che richiedono però l’approvazione del Vescovo diocesano o dei Superiori maggiori (generali e provinciali).</w:t>
      </w:r>
      <w:r/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51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>
        <w:spacing w:lineRule="auto" w:line="252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semiHidden="1" w:unhideWhenUsed="1" w:uiPriority="9" w:name="heading 2"/>
    <w:lsdException w:qFormat="1" w:semiHidden="1" w:unhideWhenUsed="1" w:uiPriority="9" w:name="heading 3"/>
    <w:lsdException w:qFormat="1" w:semiHidden="1" w:unhideWhenUsed="1" w:uiPriority="9" w:name="heading 4"/>
    <w:lsdException w:qFormat="1" w:semiHidden="1" w:unhideWhenUsed="1" w:uiPriority="9" w:name="heading 5"/>
    <w:lsdException w:qFormat="1" w:semiHidden="1" w:unhideWhenUsed="1" w:uiPriority="9" w:name="heading 6"/>
    <w:lsdException w:qFormat="1" w:semiHidden="1" w:unhideWhenUsed="1" w:uiPriority="9" w:name="heading 7"/>
    <w:lsdException w:qFormat="1" w:semiHidden="1" w:unhideWhenUsed="1" w:uiPriority="9" w:name="heading 8"/>
    <w:lsdException w:qFormat="1" w:semiHidden="1" w:unhideWhenUsed="1" w:uiPriority="9" w:name="heading 9"/>
    <w:lsdException w:semiHidden="1" w:unhideWhenUsed="1" w:name="index 1"/>
    <w:lsdException w:semiHidden="1" w:unhideWhenUsed="1" w:name="index 2"/>
    <w:lsdException w:semiHidden="1" w:unhideWhenUsed="1" w:name="index 3"/>
    <w:lsdException w:semiHidden="1" w:unhideWhenUsed="1" w:name="index 4"/>
    <w:lsdException w:semiHidden="1" w:unhideWhenUsed="1" w:name="index 5"/>
    <w:lsdException w:semiHidden="1" w:unhideWhenUsed="1" w:name="index 6"/>
    <w:lsdException w:semiHidden="1" w:unhideWhenUsed="1" w:name="index 7"/>
    <w:lsdException w:semiHidden="1" w:unhideWhenUsed="1" w:name="index 8"/>
    <w:lsdException w:semiHidden="1" w:unhideWhenUsed="1" w:name="index 9"/>
    <w:lsdException w:semiHidden="1" w:unhideWhenUsed="1" w:uiPriority="39" w:name="toc 1"/>
    <w:lsdException w:semiHidden="1" w:unhideWhenUsed="1" w:uiPriority="39" w:name="toc 2"/>
    <w:lsdException w:semiHidden="1" w:unhideWhenUsed="1" w:uiPriority="39" w:name="toc 3"/>
    <w:lsdException w:semiHidden="1" w:unhideWhenUsed="1" w:uiPriority="39" w:name="toc 4"/>
    <w:lsdException w:semiHidden="1" w:unhideWhenUsed="1" w:uiPriority="39" w:name="toc 5"/>
    <w:lsdException w:semiHidden="1" w:unhideWhenUsed="1" w:uiPriority="39" w:name="toc 6"/>
    <w:lsdException w:semiHidden="1" w:unhideWhenUsed="1" w:uiPriority="39" w:name="toc 7"/>
    <w:lsdException w:semiHidden="1" w:unhideWhenUsed="1" w:uiPriority="39" w:name="toc 8"/>
    <w:lsdException w:semiHidden="1" w:unhideWhenUsed="1" w:uiPriority="39" w:name="toc 9"/>
    <w:lsdException w:semiHidden="1" w:unhideWhenUsed="1" w:name="Normal Indent"/>
    <w:lsdException w:semiHidden="1" w:unhideWhenUsed="1" w:name="footnote text"/>
    <w:lsdException w:semiHidden="1" w:unhideWhenUsed="1" w:name="annotation text"/>
    <w:lsdException w:semiHidden="1" w:unhideWhenUsed="1" w:name="header"/>
    <w:lsdException w:semiHidden="1" w:unhideWhenUsed="1" w:name="footer"/>
    <w:lsdException w:semiHidden="1" w:unhideWhenUsed="1" w:name="index heading"/>
    <w:lsdException w:qFormat="1" w:semiHidden="1" w:unhideWhenUsed="1" w:uiPriority="35" w:name="caption"/>
    <w:lsdException w:semiHidden="1" w:unhideWhenUsed="1" w:name="table of figures"/>
    <w:lsdException w:semiHidden="1" w:unhideWhenUsed="1" w:name="envelope address"/>
    <w:lsdException w:semiHidden="1" w:unhideWhenUsed="1" w:name="envelope return"/>
    <w:lsdException w:semiHidden="1" w:unhideWhenUsed="1" w:name="footnote reference"/>
    <w:lsdException w:semiHidden="1" w:unhideWhenUsed="1" w:name="annotation reference"/>
    <w:lsdException w:semiHidden="1" w:unhideWhenUsed="1" w:name="line number"/>
    <w:lsdException w:semiHidden="1" w:unhideWhenUsed="1" w:name="page number"/>
    <w:lsdException w:semiHidden="1" w:unhideWhenUsed="1" w:name="endnote reference"/>
    <w:lsdException w:semiHidden="1" w:unhideWhenUsed="1" w:name="endnote text"/>
    <w:lsdException w:semiHidden="1" w:unhideWhenUsed="1" w:name="table of authorities"/>
    <w:lsdException w:semiHidden="1" w:unhideWhenUsed="1" w:name="macro"/>
    <w:lsdException w:semiHidden="1" w:unhideWhenUsed="1" w:name="toa heading"/>
    <w:lsdException w:semiHidden="1" w:unhideWhenUsed="1" w:name="List"/>
    <w:lsdException w:semiHidden="1" w:unhideWhenUsed="1" w:name="List Bullet"/>
    <w:lsdException w:semiHidden="1" w:unhideWhenUsed="1" w:name="List Number"/>
    <w:lsdException w:semiHidden="1" w:unhideWhenUsed="1" w:name="List 2"/>
    <w:lsdException w:semiHidden="1" w:unhideWhenUsed="1" w:name="List 3"/>
    <w:lsdException w:semiHidden="1" w:unhideWhenUsed="1" w:name="List 4"/>
    <w:lsdException w:semiHidden="1" w:unhideWhenUsed="1" w:name="List 5"/>
    <w:lsdException w:semiHidden="1" w:unhideWhenUsed="1" w:name="List Bullet 2"/>
    <w:lsdException w:semiHidden="1" w:unhideWhenUsed="1" w:name="List Bullet 3"/>
    <w:lsdException w:semiHidden="1" w:unhideWhenUsed="1" w:name="List Bullet 4"/>
    <w:lsdException w:semiHidden="1" w:unhideWhenUsed="1" w:name="List Bullet 5"/>
    <w:lsdException w:semiHidden="1" w:unhideWhenUsed="1" w:name="List Number 2"/>
    <w:lsdException w:semiHidden="1" w:unhideWhenUsed="1" w:name="List Number 3"/>
    <w:lsdException w:semiHidden="1" w:unhideWhenUsed="1" w:name="List Number 4"/>
    <w:lsdException w:semiHidden="1" w:unhideWhenUsed="1" w:name="List Number 5"/>
    <w:lsdException w:qFormat="1" w:uiPriority="10" w:name="Title"/>
    <w:lsdException w:semiHidden="1" w:unhideWhenUsed="1" w:name="Closing"/>
    <w:lsdException w:semiHidden="1" w:unhideWhenUsed="1" w:name="Signature"/>
    <w:lsdException w:semiHidden="1" w:unhideWhenUsed="1" w:uiPriority="1" w:name="Default Paragraph Font"/>
    <w:lsdException w:semiHidden="1" w:unhideWhenUsed="1" w:name="Body Text"/>
    <w:lsdException w:semiHidden="1" w:unhideWhenUsed="1" w:name="Body Text Indent"/>
    <w:lsdException w:semiHidden="1" w:unhideWhenUsed="1" w:name="List Continue"/>
    <w:lsdException w:semiHidden="1" w:unhideWhenUsed="1" w:name="List Continue 2"/>
    <w:lsdException w:semiHidden="1" w:unhideWhenUsed="1" w:name="List Continue 3"/>
    <w:lsdException w:semiHidden="1" w:unhideWhenUsed="1" w:name="List Continue 4"/>
    <w:lsdException w:semiHidden="1" w:unhideWhenUsed="1" w:name="List Continue 5"/>
    <w:lsdException w:semiHidden="1" w:unhideWhenUsed="1" w:name="Message Header"/>
    <w:lsdException w:qFormat="1" w:uiPriority="11" w:name="Subtitle"/>
    <w:lsdException w:semiHidden="1" w:unhideWhenUsed="1" w:name="Salutation"/>
    <w:lsdException w:semiHidden="1" w:unhideWhenUsed="1" w:name="Date"/>
    <w:lsdException w:semiHidden="1" w:unhideWhenUsed="1" w:name="Body Text First Indent"/>
    <w:lsdException w:semiHidden="1" w:unhideWhenUsed="1" w:name="Body Text First Indent 2"/>
    <w:lsdException w:semiHidden="1" w:unhideWhenUsed="1" w:name="Note Heading"/>
    <w:lsdException w:semiHidden="1" w:unhideWhenUsed="1" w:name="Body Text 2"/>
    <w:lsdException w:semiHidden="1" w:unhideWhenUsed="1" w:name="Body Text 3"/>
    <w:lsdException w:semiHidden="1" w:unhideWhenUsed="1" w:name="Body Text Indent 2"/>
    <w:lsdException w:semiHidden="1" w:unhideWhenUsed="1" w:name="Body Text Indent 3"/>
    <w:lsdException w:semiHidden="1" w:unhideWhenUsed="1" w:name="Block Text"/>
    <w:lsdException w:semiHidden="1" w:unhideWhenUsed="1" w:name="Hyperlink"/>
    <w:lsdException w:semiHidden="1" w:unhideWhenUsed="1" w:name="FollowedHyperlink"/>
    <w:lsdException w:qFormat="1" w:uiPriority="22" w:name="Strong"/>
    <w:lsdException w:qFormat="1" w:uiPriority="20" w:name="Emphasis"/>
    <w:lsdException w:semiHidden="1" w:unhideWhenUsed="1" w:name="Document Map"/>
    <w:lsdException w:semiHidden="1" w:unhideWhenUsed="1" w:name="Plain Text"/>
    <w:lsdException w:semiHidden="1" w:unhideWhenUsed="1" w:name="E-mail Signature"/>
    <w:lsdException w:semiHidden="1" w:unhideWhenUsed="1" w:name="HTML Top of Form"/>
    <w:lsdException w:semiHidden="1" w:unhideWhenUsed="1" w:name="HTML Bottom of Form"/>
    <w:lsdException w:semiHidden="1" w:unhideWhenUsed="1" w:name="Normal (Web)"/>
    <w:lsdException w:semiHidden="1" w:unhideWhenUsed="1" w:name="HTML Acronym"/>
    <w:lsdException w:semiHidden="1" w:unhideWhenUsed="1" w:name="HTML Address"/>
    <w:lsdException w:semiHidden="1" w:unhideWhenUsed="1" w:name="HTML Cite"/>
    <w:lsdException w:semiHidden="1" w:unhideWhenUsed="1" w:name="HTML Code"/>
    <w:lsdException w:semiHidden="1" w:unhideWhenUsed="1" w:name="HTML Definition"/>
    <w:lsdException w:semiHidden="1" w:unhideWhenUsed="1" w:name="HTML Keyboard"/>
    <w:lsdException w:semiHidden="1" w:unhideWhenUsed="1" w:name="HTML Preformatted"/>
    <w:lsdException w:semiHidden="1" w:unhideWhenUsed="1" w:name="HTML Sample"/>
    <w:lsdException w:semiHidden="1" w:unhideWhenUsed="1" w:name="HTML Typewriter"/>
    <w:lsdException w:semiHidden="1" w:unhideWhenUsed="1" w:name="HTML Variable"/>
    <w:lsdException w:semiHidden="1" w:unhideWhenUsed="1" w:name="Normal Table"/>
    <w:lsdException w:semiHidden="1" w:unhideWhenUsed="1" w:name="annotation subject"/>
    <w:lsdException w:semiHidden="1" w:unhideWhenUsed="1" w:name="No List"/>
    <w:lsdException w:semiHidden="1" w:unhideWhenUsed="1" w:name="Outline List 1"/>
    <w:lsdException w:semiHidden="1" w:unhideWhenUsed="1" w:name="Outline List 2"/>
    <w:lsdException w:semiHidden="1" w:unhideWhenUsed="1" w:name="Outline List 3"/>
    <w:lsdException w:semiHidden="1" w:unhideWhenUsed="1" w:name="Table Simple 1"/>
    <w:lsdException w:semiHidden="1" w:unhideWhenUsed="1" w:name="Table Simple 2"/>
    <w:lsdException w:semiHidden="1" w:unhideWhenUsed="1" w:name="Table Simple 3"/>
    <w:lsdException w:semiHidden="1" w:unhideWhenUsed="1" w:name="Table Classic 1"/>
    <w:lsdException w:semiHidden="1" w:unhideWhenUsed="1" w:name="Table Classic 2"/>
    <w:lsdException w:semiHidden="1" w:unhideWhenUsed="1" w:name="Table Classic 3"/>
    <w:lsdException w:semiHidden="1" w:unhideWhenUsed="1" w:name="Table Classic 4"/>
    <w:lsdException w:semiHidden="1" w:unhideWhenUsed="1" w:name="Table Colorful 1"/>
    <w:lsdException w:semiHidden="1" w:unhideWhenUsed="1" w:name="Table Colorful 2"/>
    <w:lsdException w:semiHidden="1" w:unhideWhenUsed="1" w:name="Table Colorful 3"/>
    <w:lsdException w:semiHidden="1" w:unhideWhenUsed="1" w:name="Table Columns 1"/>
    <w:lsdException w:semiHidden="1" w:unhideWhenUsed="1" w:name="Table Columns 2"/>
    <w:lsdException w:semiHidden="1" w:unhideWhenUsed="1" w:name="Table Columns 3"/>
    <w:lsdException w:semiHidden="1" w:unhideWhenUsed="1" w:name="Table Columns 4"/>
    <w:lsdException w:semiHidden="1" w:unhideWhenUsed="1" w:name="Table Columns 5"/>
    <w:lsdException w:semiHidden="1" w:unhideWhenUsed="1" w:name="Table Grid 1"/>
    <w:lsdException w:semiHidden="1" w:unhideWhenUsed="1" w:name="Table Grid 2"/>
    <w:lsdException w:semiHidden="1" w:unhideWhenUsed="1" w:name="Table Grid 3"/>
    <w:lsdException w:semiHidden="1" w:unhideWhenUsed="1" w:name="Table Grid 4"/>
    <w:lsdException w:semiHidden="1" w:unhideWhenUsed="1" w:name="Table Grid 5"/>
    <w:lsdException w:semiHidden="1" w:unhideWhenUsed="1" w:name="Table Grid 6"/>
    <w:lsdException w:semiHidden="1" w:unhideWhenUsed="1" w:name="Table Grid 7"/>
    <w:lsdException w:semiHidden="1" w:unhideWhenUsed="1" w:name="Table Grid 8"/>
    <w:lsdException w:semiHidden="1" w:unhideWhenUsed="1" w:name="Table List 1"/>
    <w:lsdException w:semiHidden="1" w:unhideWhenUsed="1" w:name="Table List 2"/>
    <w:lsdException w:semiHidden="1" w:unhideWhenUsed="1" w:name="Table List 3"/>
    <w:lsdException w:semiHidden="1" w:unhideWhenUsed="1" w:name="Table List 4"/>
    <w:lsdException w:semiHidden="1" w:unhideWhenUsed="1" w:name="Table List 5"/>
    <w:lsdException w:semiHidden="1" w:unhideWhenUsed="1" w:name="Table List 6"/>
    <w:lsdException w:semiHidden="1" w:unhideWhenUsed="1" w:name="Table List 7"/>
    <w:lsdException w:semiHidden="1" w:unhideWhenUsed="1" w:name="Table List 8"/>
    <w:lsdException w:semiHidden="1" w:unhideWhenUsed="1" w:name="Table 3D effects 1"/>
    <w:lsdException w:semiHidden="1" w:unhideWhenUsed="1" w:name="Table 3D effects 2"/>
    <w:lsdException w:semiHidden="1" w:unhideWhenUsed="1" w:name="Table 3D effects 3"/>
    <w:lsdException w:semiHidden="1" w:unhideWhenUsed="1" w:name="Table Contemporary"/>
    <w:lsdException w:semiHidden="1" w:unhideWhenUsed="1" w:name="Table Elegant"/>
    <w:lsdException w:semiHidden="1" w:unhideWhenUsed="1" w:name="Table Professional"/>
    <w:lsdException w:semiHidden="1" w:unhideWhenUsed="1" w:name="Table Subtle 1"/>
    <w:lsdException w:semiHidden="1" w:unhideWhenUsed="1" w:name="Table Subtle 2"/>
    <w:lsdException w:semiHidden="1" w:unhideWhenUsed="1" w:name="Table Web 1"/>
    <w:lsdException w:semiHidden="1" w:unhideWhenUsed="1" w:name="Table Web 2"/>
    <w:lsdException w:semiHidden="1" w:unhideWhenUsed="1" w:name="Table Web 3"/>
    <w:lsdException w:semiHidden="1" w:unhideWhenUsed="1" w:name="Balloon Text"/>
    <w:lsdException w:uiPriority="39" w:name="Table Grid"/>
    <w:lsdException w:semiHidden="1" w:unhideWhenUsed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semiHidden="1" w:unhideWhenUsed="1" w:uiPriority="37" w:name="Bibliography"/>
    <w:lsdException w:qFormat="1" w:semiHidden="1" w:unhideWhenUsed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spacing w:before="0" w:after="160" w:lineRule="auto" w:line="252"/>
      <w:jc w:val="left"/>
    </w:pPr>
    <w:rPr>
      <w:rFonts w:ascii="Calibri" w:hAnsi="Calibri" w:eastAsia="Calibri" w:cs=""/>
      <w:color w:val="00000A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ListLabel1" w:customStyle="1">
    <w:name w:val="ListLabel 1"/>
    <w:rPr>
      <w:rFonts w:cs="OpenSymbol"/>
    </w:rPr>
  </w:style>
  <w:style w:type="character" w:styleId="ListLabel2" w:customStyle="1">
    <w:name w:val="ListLabel 2"/>
    <w:rPr>
      <w:rFonts w:cs="Wingdings"/>
    </w:rPr>
  </w:style>
  <w:style w:type="character" w:styleId="ListLabel3">
    <w:name w:val="ListLabel 3"/>
    <w:rPr>
      <w:rFonts w:cs="Wingdings"/>
    </w:rPr>
  </w:style>
  <w:style w:type="paragraph" w:styleId="Titolo">
    <w:name w:val="Titolo"/>
    <w:basedOn w:val="Normal"/>
    <w:next w:val="Corpodeltesto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 w:customStyle="1">
    <w:name w:val="Corpo del testo"/>
    <w:basedOn w:val="Normal"/>
    <w:pPr>
      <w:spacing w:lineRule="auto" w:line="288" w:before="0" w:after="140"/>
    </w:pPr>
    <w:rPr/>
  </w:style>
  <w:style w:type="paragraph" w:styleId="Elenco">
    <w:name w:val="Elenco"/>
    <w:basedOn w:val="Corpodeltesto"/>
    <w:pPr/>
    <w:rPr>
      <w:rFonts w:cs="Mangal"/>
    </w:rPr>
  </w:style>
  <w:style w:type="paragraph" w:styleId="Didascalia">
    <w:name w:val="Didascali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pPr>
      <w:suppressLineNumbers/>
    </w:pPr>
    <w:rPr>
      <w:rFonts w:cs="Mangal"/>
    </w:rPr>
  </w:style>
  <w:style w:type="paragraph" w:styleId="Titoloprincipale">
    <w:name w:val="Titolo principale"/>
    <w:basedOn w:val="Normal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8b0af2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</w:style>
  <w:style w:type="table" w:default="1" w:styleId="Tabellanormale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FBCF0-DCA8-4B71-9711-AB24F255E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1538</TotalTime>
  <Application>LibreOffice/4.3.4.1$Windows_x86 LibreOffice_project/bc356b2f991740509f321d70e4512a6a54c5f243</Application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2024-09-16T12:24:00Z</dcterms:created>
  <dc:creator>Diego</dc:creator>
  <dc:language>it-IT</dc:language>
  <dcterms:modified xsi:type="dcterms:W3CDTF">2024-12-12T16:35:41Z</dcterms:modified>
  <cp:revision>15</cp:revision>
</cp:coreProperties>
</file>