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2"/>
          <w:sz w:val="22"/>
          <w:color w:val="00000A"/>
        </w:rPr>
      </w:pPr>
      <w:r>
        <w:rPr/>
        <w:t>Facoltà di Diritto Canonico “S. Pio X” – Venezia</w:t>
      </w:r>
      <w:r/>
    </w:p>
    <w:p>
      <w:pPr>
        <w:pStyle w:val="Normal"/>
        <w:spacing w:lineRule="auto" w:line="240" w:before="0" w:after="0"/>
        <w:jc w:val="center"/>
        <w:rPr>
          <w:sz w:val="22"/>
          <w:sz w:val="22"/>
          <w:color w:val="00000A"/>
        </w:rPr>
      </w:pPr>
      <w:r>
        <w:rPr/>
        <w:t>Anno accademico 2024/2025</w:t>
      </w:r>
      <w:r/>
    </w:p>
    <w:p>
      <w:pPr>
        <w:pStyle w:val="Normal"/>
        <w:spacing w:lineRule="auto" w:line="240" w:before="0" w:after="0"/>
        <w:jc w:val="center"/>
        <w:rPr>
          <w:sz w:val="22"/>
          <w:sz w:val="22"/>
          <w:color w:val="00000A"/>
        </w:rPr>
      </w:pPr>
      <w:r>
        <w:rPr/>
        <w:t>Archivistica, gestione e conservazione dei registri canonici</w:t>
      </w:r>
      <w:r/>
    </w:p>
    <w:p>
      <w:pPr>
        <w:pStyle w:val="Normal"/>
        <w:spacing w:lineRule="auto" w:line="240" w:before="0" w:after="0"/>
        <w:jc w:val="center"/>
        <w:rPr>
          <w:sz w:val="22"/>
          <w:sz w:val="22"/>
          <w:color w:val="00000A"/>
        </w:rPr>
      </w:pPr>
      <w:r>
        <w:rPr/>
        <w:t>Docente: don Diego Sartorelli</w:t>
      </w:r>
      <w:r/>
    </w:p>
    <w:p>
      <w:pPr>
        <w:pStyle w:val="Normal"/>
        <w:spacing w:lineRule="auto" w:line="240" w:before="0" w:after="0"/>
        <w:rPr>
          <w:sz w:val="22"/>
          <w:sz w:val="22"/>
          <w:color w:val="00000A"/>
        </w:rPr>
      </w:pPr>
      <w:bookmarkStart w:id="0" w:name="_GoBack"/>
      <w:bookmarkStart w:id="1" w:name="_GoBack"/>
      <w:bookmarkEnd w:id="1"/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color w:val="00000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>
          <w:caps/>
        </w:rPr>
        <w:t>1. Nozioni preliminari fondamentali</w:t>
      </w:r>
      <w:r/>
    </w:p>
    <w:p>
      <w:pPr>
        <w:pStyle w:val="Normal"/>
        <w:spacing w:lineRule="auto" w:line="240" w:before="0" w:after="0"/>
        <w:jc w:val="both"/>
      </w:pPr>
      <w:r>
        <w:rPr/>
        <w:t>1.1 Disposizioni di legge</w:t>
      </w:r>
      <w:r/>
    </w:p>
    <w:p>
      <w:pPr>
        <w:pStyle w:val="Normal"/>
        <w:spacing w:lineRule="auto" w:line="240" w:before="0" w:after="0"/>
        <w:jc w:val="both"/>
      </w:pPr>
      <w:r>
        <w:rPr/>
        <w:t xml:space="preserve">Can. 486 §2: “In unaquaque </w:t>
      </w:r>
      <w:r>
        <w:rPr>
          <w:b/>
        </w:rPr>
        <w:t>curia</w:t>
      </w:r>
      <w:r>
        <w:rPr/>
        <w:t xml:space="preserve"> erigatur, in loco tuto, archivum seu tabularium dioecesanum, in quo instrumenta et scripturae quae ad negotia dioecesana tum spiritualia tum temporalia spectant, certo ordine disposita et diligenter clausa custodiantur”.</w:t>
      </w:r>
      <w:r/>
    </w:p>
    <w:p>
      <w:pPr>
        <w:pStyle w:val="Normal"/>
        <w:spacing w:lineRule="auto" w:line="240" w:before="0" w:after="0"/>
        <w:jc w:val="both"/>
      </w:pPr>
      <w:r>
        <w:rPr/>
        <w:t xml:space="preserve">Can. 535 §4: “In unaquaque </w:t>
      </w:r>
      <w:r>
        <w:rPr>
          <w:b/>
        </w:rPr>
        <w:t>paroecia</w:t>
      </w:r>
      <w:r>
        <w:rPr/>
        <w:t xml:space="preserve"> habeatur tabularium seu archivum, in quo libri paroeciales custodiantur, una cum episcoporum epistulis aliisque documentis, necessitatis utilitatisve causa servandis; quae omnia, ab Episcopo dioecesano eiusve delegato, visitationis vel alio opportuno tempore inspicienda, parochus caveat ne ad extraneorum manus perveniant”.</w:t>
      </w:r>
      <w:r/>
    </w:p>
    <w:p>
      <w:pPr>
        <w:pStyle w:val="Normal"/>
        <w:spacing w:lineRule="auto" w:line="240" w:before="0" w:after="0"/>
        <w:jc w:val="both"/>
      </w:pPr>
      <w:r>
        <w:rPr/>
        <w:t xml:space="preserve">Can. 491 §1: “Curet Episcopus dioecesanus ut acta et documenta archivorum quoque </w:t>
      </w:r>
      <w:r>
        <w:rPr>
          <w:b/>
        </w:rPr>
        <w:t>ecclesiarum</w:t>
      </w:r>
      <w:r>
        <w:rPr/>
        <w:t xml:space="preserve"> cathedralium, collegiatarum, paroecialium, aliarumque in suo territorio exstantium diligenter serventur, atque inventaria seu catalogi conficiantur duobus exemplaribus, quorum alterum in proprio archivo, alterum in archivo dioecesano serventur”.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Ma anche IVC, SVA, Associazioni pubbliche o private di fedeli, Università e Scuole, Fondazioni, ecc.</w:t>
      </w:r>
      <w:r/>
    </w:p>
    <w:p>
      <w:pPr>
        <w:pStyle w:val="Normal"/>
        <w:spacing w:lineRule="auto" w:line="240" w:before="0" w:after="0"/>
        <w:jc w:val="both"/>
      </w:pPr>
      <w:r>
        <w:rPr/>
        <w:t>1.</w:t>
      </w:r>
      <w:r>
        <w:rPr/>
        <w:t>2</w:t>
      </w:r>
      <w:r>
        <w:rPr/>
        <w:t xml:space="preserve"> Definizion</w:t>
      </w:r>
      <w:r>
        <w:rPr/>
        <w:t>e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Ulpiano: “Archivum est locus publicus in quo instrumenta deponuntur”.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Etimologia: archivum&lt;archéion = luogo di riunione dei magistrati, ma già dall'età ellenistica col significato attuale. [Sinonimi antichi: grammatophylakion, tabularium, scrinium, archa, armarium].</w:t>
      </w:r>
      <w:r/>
    </w:p>
    <w:p>
      <w:pPr>
        <w:pStyle w:val="Normal"/>
        <w:spacing w:lineRule="auto" w:line="240" w:before="0" w:after="0"/>
        <w:jc w:val="both"/>
      </w:pPr>
      <w:r>
        <w:rPr/>
        <w:t xml:space="preserve">Definizione scientifica: “L’archivio è il complesso dei documenti prodotti e acquisiti da un soggetto nell’esercizio delle sue attività” o in modo più articolato: “L’archivio è </w:t>
      </w:r>
      <w:r>
        <w:rPr>
          <w:rFonts w:eastAsia="MS Mincho"/>
        </w:rPr>
        <w:t>l’insieme dei documenti redatti e ricevuti da una persona fisica o giuridica nel corso delle sue attività come loro strumento e residuo, e conservati per proprio riferimento da quella stessa persona o da un suo successore legittimo”.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L’archivio: 1. Raccolta ordinata di documenti; 2. Locale (o parte di esso) in cui si conserva la documentazione; 3. Istituto di conservazione (soggetto conservatore).</w:t>
      </w:r>
      <w:r/>
    </w:p>
    <w:p>
      <w:pPr>
        <w:pStyle w:val="Normal"/>
        <w:spacing w:lineRule="auto" w:line="240" w:before="0" w:after="0"/>
        <w:jc w:val="both"/>
      </w:pPr>
      <w:r>
        <w:rPr/>
        <w:t>1.</w:t>
      </w:r>
      <w:r>
        <w:rPr/>
        <w:t>3</w:t>
      </w:r>
      <w:r>
        <w:rPr/>
        <w:t xml:space="preserve"> Storia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L’archivio esiste però non solo dove esistano scritture (leggi, sentenze, contratti) ma anche là dove l’uomo, volontariamente o meno, lascia tracce di sé (graffiti, incisioni, monumenti).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Primi secoli: memoria dei martiri; imitazione delle prassi amministrative pubbliche. Dal 313 si struttura a Roma la figura del “chartarius Ecclesiae romanae”. Necessità di raccogliere soprattutto documenti di proprietà, consuetudini, privilegi, ecc.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A metà del XV secolo archivi vescovili, capitolari e monastici sono già una realtà consolidata. Per questo le disposizioni del Concilio tridentino trovano non solo rapida applicazione, ma in alcuni casi erano in qualche modo già applicate.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Sono da tenere in considerazione le norme emanate da S. Carlo Borromeo per la Diocesi e la Metropoli, indicate da Pio V come da usarsi universalmente (breve “Inter omnes” giugno 1566), e soprattutto, dopo la costituzione dell'Archivio segreto vaticano del 1612 (Paolo V), la costituzione apostolica “Maxima vigilantia” di Benedetto XIII del 1727 destinata a tutti gli Ordinari, Capitoli e Superiori maggiori d'Italia. Queste normative, in modo molto sintetico, confluirono nel CIC 1917.</w:t>
      </w:r>
      <w:r/>
    </w:p>
    <w:p>
      <w:pPr>
        <w:pStyle w:val="Normal"/>
        <w:spacing w:lineRule="auto" w:line="240" w:before="0" w:after="0"/>
        <w:jc w:val="both"/>
      </w:pPr>
      <w:r>
        <w:rPr/>
        <w:t>1.</w:t>
      </w:r>
      <w:r>
        <w:rPr/>
        <w:t>4</w:t>
      </w:r>
      <w:r>
        <w:rPr/>
        <w:t xml:space="preserve"> Concetti archivistici basilari</w:t>
      </w:r>
      <w:r/>
    </w:p>
    <w:p>
      <w:pPr>
        <w:pStyle w:val="Normal"/>
        <w:spacing w:lineRule="auto" w:line="240" w:before="0" w:after="0"/>
        <w:jc w:val="both"/>
      </w:pPr>
      <w:r>
        <w:rPr>
          <w:u w:val="single"/>
        </w:rPr>
        <w:t>Fasi della vita</w:t>
      </w:r>
      <w:r>
        <w:rPr/>
        <w:t xml:space="preserve"> di un archivio: 1. Corrente (o in formazione, uso quotidiano e riservatezza); 2. Deposito (possibilità di ordine pratico); 3. Storico (pubblica consultazione dopo alcuni decenni).</w:t>
      </w:r>
      <w:r/>
    </w:p>
    <w:p>
      <w:pPr>
        <w:pStyle w:val="Normal"/>
        <w:spacing w:lineRule="auto" w:line="240" w:before="0" w:after="0"/>
        <w:jc w:val="both"/>
      </w:pPr>
      <w:r>
        <w:rPr>
          <w:u w:val="single"/>
        </w:rPr>
        <w:t>Il documento</w:t>
      </w:r>
      <w:r>
        <w:rPr/>
        <w:t xml:space="preserve"> (“documentum”) è il prodotto di un’azione ed ha relazione con chi lo ho prodotto (soggetto produttore) e con colui o coloro che ne sono i destinatari; è oggettivo e autentico (anche se si dovesse rivelare un falso → storia delle fonti del diritto); è strumento/mezzo per raggiungere uno scopo.</w:t>
      </w:r>
      <w:r/>
    </w:p>
    <w:p>
      <w:pPr>
        <w:pStyle w:val="Normal"/>
        <w:spacing w:lineRule="auto" w:line="240" w:before="0" w:after="0"/>
        <w:jc w:val="both"/>
      </w:pPr>
      <w:r>
        <w:rPr/>
        <w:t xml:space="preserve">Sue componenti sono: </w:t>
      </w:r>
      <w:r>
        <w:rPr>
          <w:rFonts w:eastAsia="MS Mincho"/>
        </w:rPr>
        <w:t>1. il supporto (carta, pergamena, sms, email, …); 2. il contenuto (cosa dice); 3. la forma (come lo dice, essenziale per il diritto → diplomatica); 4. l'atto cioè l'azione che si intende compiere (a. mettere in atto un'azione specifica: ricorso, contratto, informazioni, ecc.; b. fornire prova di un'azione avvenuta oralmente: patto nuziale, giuramento, ricevuta di pagamento; c. dare informazioni per uso proprio o generale: messaggi, annotazioni; d. fornire istruzioni: compilare registri, organizzazre votazioni; e. rendere possibile la redazione di altri documenti: formulari; eccetera); 5. persone coinvolte (mittente, destinatario, altri indirettamente); 6. il vincolo archivistico ovvero la relazione che ogni documento archivistico ha con i documenti archivistici che partecipano alla stessa attività e si accumulano nel corso delle funzioni del produttore.</w:t>
      </w:r>
      <w:r/>
    </w:p>
    <w:p>
      <w:pPr>
        <w:pStyle w:val="Normal"/>
        <w:spacing w:lineRule="auto" w:line="240" w:before="0" w:after="0"/>
        <w:jc w:val="both"/>
      </w:pPr>
      <w:r>
        <w:rPr/>
        <w:t xml:space="preserve">Come si forma un archivio? Il processo è noto come </w:t>
      </w:r>
      <w:r>
        <w:rPr>
          <w:u w:val="single"/>
        </w:rPr>
        <w:t>sedimentazione</w:t>
      </w:r>
      <w:r>
        <w:rPr/>
        <w:t>: «è il risultato di un atto di volontà ed è coerente col valore attribuito alla memoria dell’autore-detentore dei documenti del passato». In altre parole: gli archivi non si formano spontaneamente, ma rappresentano «l’esito di una scelta intenzionale, anche se a volte poco ponderata, profondamente legata al contesto storico in cui avviene». La sedimentazione consta di due momenti: il depositarsi e il decantarsi (cfr. una stanza disordinata), azioni complementari ma separate nel tempo.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</w:r>
      <w:r/>
    </w:p>
    <w:p>
      <w:pPr>
        <w:pStyle w:val="Normal"/>
        <w:spacing w:lineRule="auto" w:line="240" w:before="0" w:after="0"/>
        <w:jc w:val="both"/>
        <w:rPr>
          <w:caps/>
        </w:rPr>
      </w:pPr>
      <w:r>
        <w:rPr>
          <w:caps/>
        </w:rPr>
        <w:t>2. L’Archivio di curia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2.1 “De archivis” (art. 2 capitis II). Uno e trino? A. corrente (can. 486 §2); A. segreto (can. 489 §1); A. storico (can. 491 §2).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Ogni archivio però – come si diceva – ha delle fasi di vita (in formazione, di deposito, storico), è quindi preferibile dire che l’archivio di curia è uno solo (con le fasi di cui sopra, di cui una, lo storico, è dotata di una propria fisionomia). L’archivio segreto – come si vedrà – è altra cosa, limitata nell’uso e nel contenuto e nella possibilità di accesso.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Esiste la possibilità che ci siano altri archivi: quello personale del Vescovo (corrispondenza soprattutto), del Vicario generale e degli altri Ordinari oltre a quelli dei singoli uffici della Curia [non tutto va protocollato].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 xml:space="preserve">2.2 “Custodiantur”. Compito principale degli archivi è quello di custodire “tutti i documenti che riguardano la diocesi o le parrocchie” (can. 486 § 1) ovvero “gli strumenti e le scritture che riguardano le questioni spirituali e temporali della diocesi” (§ 2). 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“</w:t>
      </w:r>
      <w:r>
        <w:rPr/>
        <w:t>Diligenter clausa”: prima cosa per una autentica custodia è la chiusura (“ubi manus multae sunt, claude” Sir 42, 7). Can. 487 §1 norma tassativa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“</w:t>
      </w:r>
      <w:r>
        <w:rPr/>
        <w:t>Iis quorum interest”: la chiusura non significa assoluta inconsultabilità. Tuttavia secondo alcuni principi generali: 1) entrare -&gt; per prendere è possibile con licenza del Vescovo o, insieme del Moderator curiae e del Cancelliere. Licenza esplicita. Se manca il moderator? Il vicario generale. 2) ottenere copia (non l’originale -&gt; can. 488 breve tempo e consenso) se si è interessati (personalmente o per procuratore). Copia autentica: come si fa?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Diverso invece per gli archivi storici (ok chiusura -&gt; beni culturali; sì consultazione -&gt; secondo i regolamenti, no all’asportazione, se non per mostre o usi interni della Curia stessa).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2.3 I responsabili. Li abbiamo già visti in azione: Vescovo, Cancelliere e Moderator (Vicario generale). Possiamo avere altre figure? Il notaio (cann. 483-484), ma anche l’archivista (sia per la parte storica ed anche di deposito, sia per l’ordinamento -&gt; can. 486 §2).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2.3.1 Il cancelliere ed i notai. Fare l’archivio. Custodirlo. Ordinarlo. Gestirlo.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2.4 “Instrumenta et scripturae”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Tutti i documenti che riguardano le questioni temporali e spirituali della diocesi (can. 486 §2) e delle persone e degli organismi relativi (p.e. rescritti della S. Sede a favore della Diocesi o altri enti ad essa soggetti);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Copia degli inventari o cataloghi degli atti e dei documenti di ciascuna delle chiese (can. 491 §1);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Copia dell’inventario dei beni ecclesiastici mobili ed immobili aggiornato (can. 1283, 3°);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Copia autentica, se possibile, dei documenti e degli strumenti sui quali si fondano i diritti della chiesa o istituto (can. 1284 §2, 9°);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Copia delle tavole di fondazione (can. 1306 §2);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</w:pPr>
      <w:r>
        <w:rPr/>
        <w:t xml:space="preserve">Registro dei cresimati (can. 895), </w:t>
      </w:r>
      <w:r>
        <w:rPr>
          <w:u w:val="single"/>
        </w:rPr>
        <w:t>salva diversa disposizione</w:t>
      </w:r>
      <w:r>
        <w:rPr/>
        <w:t xml:space="preserve"> delle conferenze episcopali (nuovo);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Registro (can. 1053 §2 “libro speciale”) e documenti relativi alle ordinazioni (cfr. cann. 1050-1052);</w:t>
      </w:r>
      <w:r/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</w:pPr>
      <w:r>
        <w:rPr>
          <w:i/>
        </w:rPr>
        <w:t>Excursus</w:t>
      </w:r>
      <w:r>
        <w:rPr/>
        <w:t>. Pratiche relative all’Ordinazione (con particolare riferimento ai Seminari ed alla riservatezza).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</w:pPr>
      <w:r>
        <w:rPr>
          <w:u w:val="single"/>
        </w:rPr>
        <w:t>Diritto particolare</w:t>
      </w:r>
      <w:r>
        <w:rPr/>
        <w:t>: Registro e documenti relativi all’</w:t>
      </w:r>
      <w:r>
        <w:rPr>
          <w:i/>
        </w:rPr>
        <w:t xml:space="preserve">Ordo virginum </w:t>
      </w:r>
      <w:r>
        <w:rPr/>
        <w:t>e altre forme di consacrazione pubblica diocesane -&gt; IVC e SVA, Prelature personali e Associazioni pubbliche universali clericali incardinanti;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Libro dei matrimoni per la dispensa dalla forma canonica (can. 1121 § 3 → anche in quello parrocchiale);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Copia del verbale della dedicazione o benedizione delle chiese e dei cimiteri (can. 1208);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Libro dei catecumeni (can. 788 §1) → OICA nell'edizione nazionale;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</w:pPr>
      <w:r>
        <w:rPr>
          <w:u w:val="single"/>
        </w:rPr>
        <w:t>Diritto particolare</w:t>
      </w:r>
      <w:r>
        <w:rPr/>
        <w:t>: regesto (estratto) dei registri parrocchiali (cfr. CIC17 c. 470 §3)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</w:pPr>
      <w:r>
        <w:rPr>
          <w:u w:val="single"/>
        </w:rPr>
        <w:t>Diritto particolare</w:t>
      </w:r>
      <w:r>
        <w:rPr/>
        <w:t>: altri archivi, in deposito (con verbale di trasmissione ed inventario);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</w:pPr>
      <w:r>
        <w:rPr>
          <w:u w:val="single"/>
        </w:rPr>
        <w:t>Diritto civile</w:t>
      </w:r>
      <w:r>
        <w:rPr/>
        <w:t>: libri contabili e documenti relativi (fatture);</w:t>
      </w:r>
      <w:r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Strumenti di indole legislativa o pastorale più rilevanti (AAS; Bollettino diocesano; Enchiridion; Sinodi; Piani pastorali; Decreti delle visite pastorali).</w:t>
      </w:r>
      <w:r/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</w:pPr>
      <w:r>
        <w:rPr>
          <w:i/>
        </w:rPr>
        <w:t>Excursus</w:t>
      </w:r>
      <w:r>
        <w:rPr/>
        <w:t>. Lo scarto archivistico.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2.5 L’Archivio storico. Dimensione culturale e funzione pastorale.</w:t>
      </w:r>
      <w:r/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Excursus. Curia romana: dicasteri ed archivi.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>3. L’</w:t>
      </w:r>
      <w:r>
        <w:rPr/>
        <w:t>ARCHIVIO SEGRETO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Dispensa da impedimento matrimoniale occulto concesso in foro interno non sacramentale, salvo altre disposizioni della Penitenzieria (can. 1082);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Registro dei matrimoni segreti (can. 1133);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Documento da cui risultano le ammonizioni e riprensioni effettuate dall’Ordinario come rimedi penali (can. 1339 §3);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  <w:t>Documenti relativi alle cause criminali in materia di costumi; gli atti dell’indagine previa e i decreti dell’Ordinario in materia di processo penale, con i quali l’indagine ha inizio o si conclude e tutto ciò che precede l’indagine, se non necessari al processo (can. 1719);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Liberation Serif" w:cs="Liberation Serif"/>
        </w:rPr>
      </w:pPr>
      <w:r>
        <w:rPr/>
        <w:t>Diritto particolare: dispense dagli impedimenti e irregolarità agli ordini sacri (cann. 1040-1049), la documentazione relativa agli scrutini dei candidati agli ordini sacri (cann. 1051-1052), i decreti di dismissione da un istituto religioso (can. 700), i documenti relativi alla perdita dello stato clericale (can. 290-293) -&gt; sconsigliato.</w:t>
      </w:r>
      <w:r/>
    </w:p>
    <w:p>
      <w:pPr>
        <w:pStyle w:val="Normal"/>
        <w:spacing w:lineRule="auto" w:line="240" w:before="0" w:after="0"/>
        <w:jc w:val="both"/>
      </w:pPr>
      <w:r>
        <w:rPr>
          <w:rFonts w:eastAsia="Liberation Serif" w:cs="Liberation Serif"/>
        </w:rPr>
        <w:t xml:space="preserve">   </w:t>
      </w:r>
      <w:r>
        <w:rPr/>
        <w:t>NB: Ogni anno, alla notizia della morte dei rei, devono essere distrutti tutti i documenti delle cause criminali in maniera di costumi che li riguardano; se ancora viventi, dopo dieci anni dalla sentenza di condanna, si dovrà conservare solo un breve sommario con il testo della sentenza definitiva (cfr. can. 489 §2).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>4. L’</w:t>
      </w:r>
      <w:r>
        <w:rPr/>
        <w:t>ARCHIVIO PARROCCHIALE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Registri dei battesimi, matrimoni, defunti (can. 535 §1) [+CEI: Cresime; Amministrazione dei beni; Legati; Raccomandati: Status animarum; Prime comunioni; Cronaca parrocchiale]</w:t>
      </w:r>
      <w:r/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</w:pPr>
      <w:r>
        <w:rPr>
          <w:i/>
        </w:rPr>
        <w:t>Excursus</w:t>
      </w:r>
      <w:r>
        <w:rPr/>
        <w:t>. Le rettifiche degli atti parrocchiali.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Registro delle Messe (can. 958)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Atti di dedicazione/benedizione chiesa e benedizione cimitero (can. 1208)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Tavole di fondazione (can. 1306) e tabella degli oneri annessi (can. 1307) con relativo registro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Documenti e strumenti circa i diritti della parrocchia (can. 1284 §2, 9°)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Libri delle entrate e delle uscite (can. 1284 §2, 7°)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Pratiche matrimoniali (fascicoli o filze)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Decreti di nomina del parroco e degli altri collaboratori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Fonti legislative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2"/>
          <w:sz w:val="22"/>
          <w:color w:val="00000A"/>
        </w:rPr>
      </w:pPr>
      <w:r>
        <w:rPr/>
        <w:t>Rescritti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color w:val="00000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 xml:space="preserve">5. </w:t>
      </w:r>
      <w:r>
        <w:rPr/>
        <w:t>GESTIONE DEGLI ARCHIVI</w:t>
      </w:r>
      <w:r>
        <w:rPr/>
        <w:t xml:space="preserve"> (Protocollo, titolario, </w:t>
      </w:r>
      <w:r>
        <w:rPr/>
        <w:t>tutela della privacy</w:t>
      </w:r>
      <w:r>
        <w:rPr/>
        <w:t>)</w:t>
      </w:r>
      <w:r/>
    </w:p>
    <w:p>
      <w:pPr>
        <w:pStyle w:val="Normal"/>
        <w:spacing w:lineRule="auto" w:line="240" w:before="0" w:after="0"/>
        <w:jc w:val="both"/>
      </w:pPr>
      <w:r>
        <w:rPr/>
        <w:t>Cfr. i</w:t>
      </w:r>
      <w:r>
        <w:rPr/>
        <w:t>ndicazioni della CEI che richiedono però l’approvazione del Vescovo diocesano o dei Superiori maggiori (generali e provinciali).</w:t>
      </w:r>
      <w:r/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2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Rule="auto" w:line="252"/>
      <w:jc w:val="left"/>
    </w:pPr>
    <w:rPr>
      <w:rFonts w:ascii="Calibri" w:hAnsi="Calibri" w:eastAsia="Calibri" w:cs="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 w:customStyle="1">
    <w:name w:val="ListLabel 1"/>
    <w:rPr>
      <w:rFonts w:cs="OpenSymbol"/>
    </w:rPr>
  </w:style>
  <w:style w:type="character" w:styleId="ListLabel2" w:customStyle="1">
    <w:name w:val="ListLabel 2"/>
    <w:rPr>
      <w:rFonts w:cs="Wingdings"/>
    </w:rPr>
  </w:style>
  <w:style w:type="character" w:styleId="ListLabel3">
    <w:name w:val="ListLabel 3"/>
    <w:rPr>
      <w:rFonts w:cs="Wingdings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pPr>
      <w:suppressLineNumbers/>
    </w:pPr>
    <w:rPr>
      <w:rFonts w:cs="Mangal"/>
    </w:rPr>
  </w:style>
  <w:style w:type="paragraph" w:styleId="Titoloprincipale">
    <w:name w:val="Titolo principale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b0af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BCF0-DCA8-4B71-9711-AB24F255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Application>LibreOffice/4.3.4.1$Windows_x86 LibreOffice_project/bc356b2f991740509f321d70e4512a6a54c5f243</Application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2024-09-16T12:24:00Z</dcterms:created>
  <dc:creator>Diego</dc:creator>
  <dc:language>it-IT</dc:language>
  <dcterms:modified xsi:type="dcterms:W3CDTF">2024-12-12T16:35:41Z</dcterms:modified>
  <cp:revision>15</cp:revision>
</cp:coreProperties>
</file>